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692"/>
        <w:gridCol w:w="2373"/>
        <w:gridCol w:w="6689"/>
        <w:tblGridChange w:id="0">
          <w:tblGrid>
            <w:gridCol w:w="1692"/>
            <w:gridCol w:w="2373"/>
            <w:gridCol w:w="668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8ooc9d82btl4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DE APOYO A LA GESTION EN LA SECRETARIA DEL DEPORTE Y LA RECREACION DEL PROYECTO DENOMINADO” APOYO A LA INICIACÓN Y FORMACION DEPORTIVA EN SANTIAGO DE CALI”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4162.010.26.1.1519-2025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LUIS HERNANDO CORTES NARVAEZ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16761607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$10.242.000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21/may/2025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1,423,500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1073442768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8823225320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/06/2025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JUNIO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Liderar la gestión administrativa y metodológica para facilitar acciones en las jornadas y eventos, impulsando la formación deportiva y demás actividades del proyecto, mediante la elaboración e implementación de planes de intervención alineados con las estrategias del proyecto y el desarrollo técnico de las actividades.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Verificar el cumplimiento y/o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Planear y diligenciar el formato de parrilla de los monitores deportivo de la Secretaria del Deporte y la Recreación.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1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1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Lideré organización, distribución y planeación de actividades de los monitores de la línea poblacional Intramurales, participando en mesa de trabajo convocada por la coordinación técnica.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visitas de seguimiento y acompañamiento en el punto de atención Cárcel Militar del Batallón Pichincha.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" w:right="0" w:hanging="66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Participé en el Comité Departamental de Coordinación del Sistema de Responsabilidad Penal de Adolecentes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Organicé y entregué oportunamente los formatos requeridos para dar cumplimiento a procesos del sistema gestiona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Diligencié la parrilla de actividades de los monitores a cargo de la atención de la Línea Poblacional Intramurales, condensando la información requerida con respecto a los puntos de atención, horarios, días y demás ítems correspondientes.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Participé en la jornada de Misión Formarnos con todo el equipo técnico y operativo  del programa Poblaciones y Etnias.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https://drive.google.com/drive/folders/1j34TAlpY_K6Dt3wJUtb9LGVH3Dzn-3Fb?usp=drive_link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-70484</wp:posOffset>
                  </wp:positionV>
                  <wp:extent cx="1409700" cy="790575"/>
                  <wp:effectExtent b="0" l="0" r="0" t="0"/>
                  <wp:wrapNone/>
                  <wp:docPr id="91592164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7905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25/jul/2025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83056F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j34TAlpY_K6Dt3wJUtb9LGVH3Dzn-3Fb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6IYVrzlKP2gKjtF/NXZr4h+KjA==">CgMxLjAyDmguOG9vYzlkODJidGw0OAByITFadjZ6WGVZa1JZZmFfMzhEMlI5VHdKdE5zbXBmNlFvUQ==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2025-05-31T14:10:00Z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